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dc32feab645d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15147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ŽITNJAK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2.453.939,96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3.138.721,18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2.337.156,21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3.322.226,13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183.504,95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77.007,91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78.197,21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77.007,91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78.197,21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261.702,16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Žitnjak posluje u skladu sa Zakonom o odgoju i obrazovanju u osnovnoj i srednjoj školi i Statutom škole. Proračunsko računovodstvo vodi prema važećim pravilnicima, a financijske izvještaje sastavlja i predaje sukladno propisima Ministarstva financija.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162.209,35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plaća cop za 12-2025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22.050,56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neplaćene radne bilježnice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13.803,29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162.209,35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1175,1</w:t>
            </w:r>
          </w:p>
        </w:tc>
      </w:tr>
    </w:tbl>
    <w:p>
      <w:pPr>
        <w:spacing w:before="0" w:after="0"/>
      </w:pPr>
    </w:p>
    <w:p>
      <w:r>
        <w:t xml:space="preserve">obračunati prihodi za plaću 12-2025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47.718,02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amortizacija za 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16.690,77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laptop i namještaj za školsku knjižnicu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odnosi se na refundacije troškova za radne bilježnice te na račune zaprimljene krajem izvještajnog razdoblja i početkom nove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nisu plaćene radne bilježnice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uspješno koristi sredstva Europske unije za shemu, pun i erasmus.</w:t>
      </w:r>
    </w:p>
    <w:p>
      <w:r>
        <w:t xml:space="preserve">Projekti se provode u skladu s propisanim smjernicama i ciljevima, uz</w:t>
      </w:r>
      <w:r>
        <w:br/>
      </w:r>
      <w:r>
        <w:t xml:space="preserve">učinkovito korištenje dodijeljenih sredstava.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271003f9264086" /></Relationships>
</file>