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0F" w:rsidRDefault="000A1C0F" w:rsidP="000A1C0F">
      <w:pPr>
        <w:spacing w:after="0" w:line="276" w:lineRule="auto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1174C" wp14:editId="17576A4C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30D">
        <w:rPr>
          <w:b/>
          <w:szCs w:val="24"/>
        </w:rPr>
        <w:t>OSNOVNA ŠKOLA  ŽITNJAK</w:t>
      </w:r>
    </w:p>
    <w:p w:rsidR="000A1C0F" w:rsidRDefault="000A1C0F" w:rsidP="000A1C0F">
      <w:pPr>
        <w:spacing w:after="0" w:line="276" w:lineRule="auto"/>
        <w:rPr>
          <w:b/>
          <w:szCs w:val="24"/>
        </w:rPr>
      </w:pPr>
      <w:proofErr w:type="spellStart"/>
      <w:r w:rsidRPr="0091530D">
        <w:rPr>
          <w:b/>
          <w:szCs w:val="24"/>
        </w:rPr>
        <w:t>I.Petruševec</w:t>
      </w:r>
      <w:proofErr w:type="spellEnd"/>
      <w:r w:rsidRPr="0091530D">
        <w:rPr>
          <w:b/>
          <w:szCs w:val="24"/>
        </w:rPr>
        <w:t xml:space="preserve"> 1</w:t>
      </w:r>
    </w:p>
    <w:p w:rsidR="000A1C0F" w:rsidRDefault="000A1C0F" w:rsidP="000A1C0F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10 000 Zagreb</w:t>
      </w:r>
    </w:p>
    <w:p w:rsidR="000A1C0F" w:rsidRPr="004C6833" w:rsidRDefault="000A1C0F" w:rsidP="000A1C0F">
      <w:pPr>
        <w:spacing w:after="0" w:line="276" w:lineRule="auto"/>
        <w:rPr>
          <w:b/>
          <w:szCs w:val="24"/>
        </w:rPr>
      </w:pPr>
    </w:p>
    <w:p w:rsidR="000A1C0F" w:rsidRPr="004C6833" w:rsidRDefault="000A1C0F" w:rsidP="000A1C0F">
      <w:pPr>
        <w:spacing w:after="0" w:line="276" w:lineRule="auto"/>
        <w:rPr>
          <w:b/>
          <w:szCs w:val="24"/>
        </w:rPr>
      </w:pPr>
      <w:r w:rsidRPr="004C6833">
        <w:rPr>
          <w:b/>
          <w:szCs w:val="24"/>
        </w:rPr>
        <w:t xml:space="preserve">Klasa: </w:t>
      </w:r>
      <w:r>
        <w:rPr>
          <w:b/>
          <w:szCs w:val="24"/>
        </w:rPr>
        <w:t>400-01/14</w:t>
      </w:r>
      <w:r>
        <w:rPr>
          <w:b/>
          <w:szCs w:val="24"/>
        </w:rPr>
        <w:t>-01/</w:t>
      </w:r>
      <w:r>
        <w:rPr>
          <w:b/>
          <w:szCs w:val="24"/>
        </w:rPr>
        <w:t>22</w:t>
      </w:r>
    </w:p>
    <w:p w:rsidR="000A1C0F" w:rsidRPr="004C6833" w:rsidRDefault="000A1C0F" w:rsidP="000A1C0F">
      <w:pPr>
        <w:spacing w:after="0" w:line="276" w:lineRule="auto"/>
        <w:rPr>
          <w:b/>
          <w:szCs w:val="24"/>
        </w:rPr>
      </w:pPr>
      <w:proofErr w:type="spellStart"/>
      <w:r>
        <w:rPr>
          <w:b/>
          <w:szCs w:val="24"/>
        </w:rPr>
        <w:t>Urbroj</w:t>
      </w:r>
      <w:proofErr w:type="spellEnd"/>
      <w:r>
        <w:rPr>
          <w:b/>
          <w:szCs w:val="24"/>
        </w:rPr>
        <w:t>: 251-157-14</w:t>
      </w:r>
      <w:r w:rsidRPr="004C6833">
        <w:rPr>
          <w:b/>
          <w:szCs w:val="24"/>
        </w:rPr>
        <w:t>-1</w:t>
      </w:r>
    </w:p>
    <w:p w:rsidR="000A1C0F" w:rsidRDefault="000A1C0F" w:rsidP="000A1C0F">
      <w:pPr>
        <w:spacing w:after="0" w:line="276" w:lineRule="auto"/>
        <w:jc w:val="both"/>
        <w:rPr>
          <w:rStyle w:val="Istaknuto"/>
          <w:b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Zagreb, </w:t>
      </w:r>
      <w:r>
        <w:rPr>
          <w:szCs w:val="24"/>
        </w:rPr>
        <w:t>29.12.2014.</w:t>
      </w:r>
      <w:bookmarkStart w:id="0" w:name="_GoBack"/>
      <w:bookmarkEnd w:id="0"/>
      <w:r>
        <w:rPr>
          <w:rStyle w:val="Istaknuto"/>
          <w:b/>
          <w:bCs/>
          <w:color w:val="000000" w:themeColor="text1"/>
          <w:szCs w:val="24"/>
          <w:shd w:val="clear" w:color="auto" w:fill="FFFFFF"/>
        </w:rPr>
        <w:t xml:space="preserve">                                  </w:t>
      </w:r>
    </w:p>
    <w:p w:rsidR="006A3431" w:rsidRDefault="006A3431">
      <w:pPr>
        <w:spacing w:after="0" w:line="259" w:lineRule="auto"/>
        <w:ind w:left="0" w:firstLine="0"/>
      </w:pPr>
    </w:p>
    <w:p w:rsidR="006A3431" w:rsidRDefault="00EE5570">
      <w:pPr>
        <w:ind w:left="-5"/>
      </w:pPr>
      <w:r>
        <w:t xml:space="preserve">Temeljem 3. Zakona o fiskalnoj odgovornosti (NN 139/10, 19/14) i članka 54. Statuta OŠ </w:t>
      </w:r>
      <w:r w:rsidR="000A1C0F">
        <w:t>Žitnjak</w:t>
      </w:r>
      <w:r>
        <w:t xml:space="preserve">, </w:t>
      </w:r>
      <w:proofErr w:type="spellStart"/>
      <w:r w:rsidR="000A1C0F">
        <w:t>I.Petruševec</w:t>
      </w:r>
      <w:proofErr w:type="spellEnd"/>
      <w:r w:rsidR="000A1C0F">
        <w:t xml:space="preserve"> 1</w:t>
      </w:r>
      <w:r>
        <w:t xml:space="preserve"> Zagreb,  ravnatelj</w:t>
      </w:r>
      <w:r w:rsidR="000A1C0F">
        <w:t xml:space="preserve"> Tomislav Barun </w:t>
      </w:r>
      <w:r>
        <w:t xml:space="preserve">donosi: </w:t>
      </w:r>
    </w:p>
    <w:p w:rsidR="006A3431" w:rsidRDefault="00EE5570">
      <w:pPr>
        <w:spacing w:after="0" w:line="259" w:lineRule="auto"/>
        <w:ind w:left="0" w:firstLine="0"/>
      </w:pPr>
      <w:r>
        <w:t xml:space="preserve"> </w:t>
      </w:r>
    </w:p>
    <w:p w:rsidR="006A3431" w:rsidRDefault="00EE5570">
      <w:pPr>
        <w:spacing w:after="16" w:line="259" w:lineRule="auto"/>
        <w:ind w:right="5"/>
        <w:jc w:val="center"/>
      </w:pPr>
      <w:r>
        <w:rPr>
          <w:b/>
        </w:rPr>
        <w:t xml:space="preserve">PROCEDURU </w:t>
      </w:r>
    </w:p>
    <w:p w:rsidR="006A3431" w:rsidRDefault="00EE5570">
      <w:pPr>
        <w:spacing w:after="16" w:line="259" w:lineRule="auto"/>
        <w:ind w:right="7"/>
        <w:jc w:val="center"/>
      </w:pPr>
      <w:r>
        <w:rPr>
          <w:b/>
        </w:rPr>
        <w:t xml:space="preserve">PRAĆENJA I NAPLATE PRIHODA I PRIMITAKA </w:t>
      </w:r>
    </w:p>
    <w:p w:rsidR="006A3431" w:rsidRDefault="00EE5570">
      <w:pPr>
        <w:spacing w:after="29" w:line="259" w:lineRule="auto"/>
        <w:ind w:left="59" w:firstLine="0"/>
        <w:jc w:val="center"/>
      </w:pPr>
      <w:r>
        <w:t xml:space="preserve"> </w:t>
      </w:r>
    </w:p>
    <w:p w:rsidR="006A3431" w:rsidRDefault="00EE5570">
      <w:pPr>
        <w:spacing w:after="16" w:line="259" w:lineRule="auto"/>
        <w:ind w:right="1"/>
        <w:jc w:val="center"/>
      </w:pPr>
      <w:r>
        <w:rPr>
          <w:b/>
        </w:rPr>
        <w:t xml:space="preserve">Članak 1. </w:t>
      </w:r>
    </w:p>
    <w:p w:rsidR="006A3431" w:rsidRDefault="00EE5570" w:rsidP="000A1C0F">
      <w:pPr>
        <w:ind w:left="-5"/>
        <w:jc w:val="both"/>
      </w:pPr>
      <w:r>
        <w:t xml:space="preserve">Ovim se aktom propisuje procedura odnosno način i rokovi praćenja naplate prihoda i  primitaka Osnovne škole </w:t>
      </w:r>
      <w:r w:rsidR="000A1C0F">
        <w:t>Žitnjak</w:t>
      </w:r>
      <w:r>
        <w:t xml:space="preserve">( u </w:t>
      </w:r>
      <w:r>
        <w:t xml:space="preserve">nastavku: Škola), osim ako posebnim propisom ili Statuom Škole nije uređeno drugačije. Prihodi koje Škola naplaćuje su: </w:t>
      </w:r>
    </w:p>
    <w:p w:rsidR="006A3431" w:rsidRDefault="00EE5570">
      <w:pPr>
        <w:spacing w:after="25" w:line="259" w:lineRule="auto"/>
        <w:ind w:left="0" w:firstLine="0"/>
      </w:pPr>
      <w:r>
        <w:t xml:space="preserve"> </w:t>
      </w:r>
    </w:p>
    <w:p w:rsidR="006A3431" w:rsidRDefault="00EE5570">
      <w:pPr>
        <w:numPr>
          <w:ilvl w:val="0"/>
          <w:numId w:val="1"/>
        </w:numPr>
        <w:ind w:hanging="360"/>
      </w:pPr>
      <w:r>
        <w:t xml:space="preserve">vlastiti prihodi od zakupa školskog prostora ( </w:t>
      </w:r>
      <w:r w:rsidR="000A1C0F">
        <w:t>prostor atomskog skloništa, sportska dvorana</w:t>
      </w:r>
      <w:r>
        <w:t xml:space="preserve">) </w:t>
      </w:r>
    </w:p>
    <w:p w:rsidR="006A3431" w:rsidRDefault="00EE5570">
      <w:pPr>
        <w:numPr>
          <w:ilvl w:val="0"/>
          <w:numId w:val="1"/>
        </w:numPr>
        <w:ind w:hanging="360"/>
      </w:pPr>
      <w:r>
        <w:t xml:space="preserve">prihodi od naplate školske prehrane prema Programu javnih potreba u osnovnom odgoju i obrazovanju Grada Zagreba, </w:t>
      </w:r>
    </w:p>
    <w:p w:rsidR="006A3431" w:rsidRDefault="00EE5570">
      <w:pPr>
        <w:numPr>
          <w:ilvl w:val="0"/>
          <w:numId w:val="1"/>
        </w:numPr>
        <w:ind w:hanging="360"/>
      </w:pPr>
      <w:r>
        <w:t xml:space="preserve">ostali prihodi </w:t>
      </w:r>
    </w:p>
    <w:p w:rsidR="006A3431" w:rsidRDefault="00EE5570" w:rsidP="000A1C0F">
      <w:pPr>
        <w:ind w:left="-5"/>
        <w:jc w:val="both"/>
      </w:pPr>
      <w:r>
        <w:t>Prihodi koje Škola naplaćuje od školskog prostora i školske prehrane propisane su Programom javnih potreba u osnovnom odgoju i</w:t>
      </w:r>
      <w:r>
        <w:t xml:space="preserve"> obrazovanju Grada Zagreba . </w:t>
      </w:r>
    </w:p>
    <w:p w:rsidR="006A3431" w:rsidRDefault="00EE5570">
      <w:pPr>
        <w:ind w:left="-5"/>
      </w:pPr>
      <w:r>
        <w:t xml:space="preserve">Ako Škola ugovori zakup školskog prostora u vrijednosti većoj od 20.000,00 kuna godišnje s zakupcem se ugovara instrument osiguranja plaćanja. </w:t>
      </w:r>
    </w:p>
    <w:p w:rsidR="006A3431" w:rsidRDefault="00EE5570">
      <w:pPr>
        <w:spacing w:after="0" w:line="259" w:lineRule="auto"/>
        <w:ind w:left="0" w:firstLine="0"/>
      </w:pPr>
      <w:r>
        <w:t xml:space="preserve"> </w:t>
      </w:r>
    </w:p>
    <w:p w:rsidR="006A3431" w:rsidRDefault="00EE5570">
      <w:pPr>
        <w:spacing w:after="29" w:line="259" w:lineRule="auto"/>
        <w:ind w:left="0" w:firstLine="0"/>
      </w:pPr>
      <w:r>
        <w:t xml:space="preserve"> </w:t>
      </w:r>
    </w:p>
    <w:p w:rsidR="006A3431" w:rsidRDefault="00EE5570">
      <w:pPr>
        <w:spacing w:after="16" w:line="259" w:lineRule="auto"/>
        <w:ind w:right="1"/>
        <w:jc w:val="center"/>
      </w:pPr>
      <w:r>
        <w:rPr>
          <w:b/>
        </w:rPr>
        <w:t xml:space="preserve">Članak 2. </w:t>
      </w:r>
    </w:p>
    <w:p w:rsidR="006A3431" w:rsidRDefault="00EE5570">
      <w:pPr>
        <w:ind w:left="-5"/>
      </w:pPr>
      <w:r>
        <w:t xml:space="preserve">Procedura iz članka 1. Izvodi se po postupku </w:t>
      </w:r>
      <w:proofErr w:type="spellStart"/>
      <w:r>
        <w:t>navednom</w:t>
      </w:r>
      <w:proofErr w:type="spellEnd"/>
      <w:r>
        <w:t xml:space="preserve"> u tablici: </w:t>
      </w:r>
    </w:p>
    <w:p w:rsidR="006A3431" w:rsidRDefault="00EE55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74" w:type="dxa"/>
        <w:tblInd w:w="-680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1709"/>
        <w:gridCol w:w="2259"/>
        <w:gridCol w:w="3119"/>
      </w:tblGrid>
      <w:tr w:rsidR="006A3431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RED. BR.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AKTIVNOST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NADLEŽNA SLUŽBA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DOKUMENT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ROK </w:t>
            </w:r>
          </w:p>
        </w:tc>
      </w:tr>
      <w:tr w:rsidR="006A343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1 </w:t>
            </w:r>
          </w:p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right="11" w:firstLine="0"/>
            </w:pPr>
            <w:r>
              <w:t xml:space="preserve">Dostava podataka računovodstvu potrebnih za izdavanje računa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Računovodstvo Administrator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Ugovor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numPr>
                <w:ilvl w:val="0"/>
                <w:numId w:val="2"/>
              </w:numPr>
              <w:spacing w:after="0" w:line="259" w:lineRule="auto"/>
              <w:ind w:hanging="361"/>
            </w:pPr>
            <w:r>
              <w:t xml:space="preserve">Tijekom godine </w:t>
            </w:r>
          </w:p>
          <w:p w:rsidR="006A3431" w:rsidRDefault="00EE5570">
            <w:pPr>
              <w:numPr>
                <w:ilvl w:val="0"/>
                <w:numId w:val="2"/>
              </w:numPr>
              <w:spacing w:after="0" w:line="259" w:lineRule="auto"/>
              <w:ind w:hanging="361"/>
            </w:pPr>
            <w:r>
              <w:t xml:space="preserve">Po sklapanju ugovora </w:t>
            </w:r>
          </w:p>
        </w:tc>
      </w:tr>
      <w:tr w:rsidR="006A3431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Izdavanje računa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Račun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Mjesečno </w:t>
            </w:r>
          </w:p>
        </w:tc>
      </w:tr>
      <w:tr w:rsidR="006A3431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Ovjera i potpis računa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Ravnateljica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Račun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2 dana od izrade računa </w:t>
            </w:r>
          </w:p>
        </w:tc>
      </w:tr>
      <w:tr w:rsidR="006A343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Slanje izlaznog računa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Računovodstvo Administrator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Knjiga izlazne pošte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right="29" w:firstLine="0"/>
            </w:pPr>
            <w:r>
              <w:t xml:space="preserve">Najkasnije dva (2) dana nakon potpisa računa </w:t>
            </w:r>
          </w:p>
        </w:tc>
      </w:tr>
      <w:tr w:rsidR="006A343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22" w:line="259" w:lineRule="auto"/>
              <w:ind w:left="2" w:firstLine="0"/>
            </w:pPr>
            <w:r>
              <w:t xml:space="preserve">Unos podataka u sustav </w:t>
            </w:r>
          </w:p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(knjiženje izlaznih računa)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38" w:lineRule="auto"/>
              <w:ind w:left="0" w:firstLine="0"/>
              <w:jc w:val="both"/>
            </w:pPr>
            <w:r>
              <w:t xml:space="preserve">Knjiga izlaznih računa, Glavna </w:t>
            </w:r>
          </w:p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knjiga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Unutar mjeseca na koji se račun odnosi </w:t>
            </w:r>
          </w:p>
        </w:tc>
      </w:tr>
      <w:tr w:rsidR="006A343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lastRenderedPageBreak/>
              <w:t xml:space="preserve">6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Evidentiranje naplaćenih prihoda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38" w:lineRule="auto"/>
              <w:ind w:left="0" w:firstLine="0"/>
              <w:jc w:val="both"/>
            </w:pPr>
            <w:r>
              <w:t xml:space="preserve">Knjiga izlaznih računa, Glavna </w:t>
            </w:r>
          </w:p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knjiga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Kontinuirano </w:t>
            </w:r>
          </w:p>
        </w:tc>
      </w:tr>
      <w:tr w:rsidR="006A3431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Praćenje naplate prihoda (analitika)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Izvadak po poslovnom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A3431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6A343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6A3431">
            <w:pPr>
              <w:spacing w:after="160" w:line="259" w:lineRule="auto"/>
              <w:ind w:left="0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6A3431">
            <w:pPr>
              <w:spacing w:after="160" w:line="259" w:lineRule="auto"/>
              <w:ind w:left="0" w:firstLine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76" w:lineRule="auto"/>
              <w:ind w:left="0" w:firstLine="0"/>
            </w:pPr>
            <w:r>
              <w:t xml:space="preserve">računu/Blagajnički  izvještaj </w:t>
            </w:r>
          </w:p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Kontinuirano </w:t>
            </w:r>
          </w:p>
        </w:tc>
      </w:tr>
      <w:tr w:rsidR="006A343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Utvrđivanje stanja  dospjelih i nenaplaćenih potraživanja/prihoda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Izvod otvorenih stavaka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Kontinuirano </w:t>
            </w:r>
          </w:p>
        </w:tc>
      </w:tr>
      <w:tr w:rsidR="006A343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Upozoravanje i izdavanje opomena i opomena pred tužnu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Opomene i opomene pred tužbu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Kontinuirano </w:t>
            </w:r>
          </w:p>
        </w:tc>
      </w:tr>
      <w:tr w:rsidR="006A3431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Donošenje odluke o prisilnoj naplati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Ravnateljica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Odluka o prisilnoj naplati potraživanja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Kontinuirano </w:t>
            </w:r>
          </w:p>
        </w:tc>
      </w:tr>
      <w:tr w:rsidR="006A3431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Ovrha-prisilna naplata </w:t>
            </w:r>
          </w:p>
          <w:p w:rsidR="006A3431" w:rsidRDefault="00EE5570">
            <w:pPr>
              <w:spacing w:after="22" w:line="259" w:lineRule="auto"/>
              <w:ind w:left="2" w:firstLine="0"/>
            </w:pPr>
            <w:r>
              <w:t xml:space="preserve">potraživanja u skladu s </w:t>
            </w:r>
          </w:p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Ovršnim zakonom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Tajništvo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Ovršni postupak kod javnog bilježnika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15 dana nakon donošenja </w:t>
            </w:r>
          </w:p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Odluke </w:t>
            </w:r>
          </w:p>
        </w:tc>
      </w:tr>
    </w:tbl>
    <w:p w:rsidR="006A3431" w:rsidRDefault="00EE5570">
      <w:pPr>
        <w:spacing w:after="0" w:line="259" w:lineRule="auto"/>
        <w:ind w:left="0" w:firstLine="0"/>
      </w:pPr>
      <w:r>
        <w:t xml:space="preserve"> </w:t>
      </w:r>
    </w:p>
    <w:p w:rsidR="006A3431" w:rsidRDefault="00EE5570">
      <w:pPr>
        <w:spacing w:after="29" w:line="259" w:lineRule="auto"/>
        <w:ind w:left="0" w:firstLine="0"/>
      </w:pPr>
      <w:r>
        <w:t xml:space="preserve"> </w:t>
      </w:r>
    </w:p>
    <w:p w:rsidR="006A3431" w:rsidRDefault="00EE5570">
      <w:pPr>
        <w:spacing w:after="16" w:line="259" w:lineRule="auto"/>
        <w:ind w:right="1"/>
        <w:jc w:val="center"/>
      </w:pPr>
      <w:r>
        <w:rPr>
          <w:b/>
        </w:rPr>
        <w:t xml:space="preserve">Članak 3. </w:t>
      </w:r>
    </w:p>
    <w:p w:rsidR="006A3431" w:rsidRDefault="00EE5570" w:rsidP="000A1C0F">
      <w:pPr>
        <w:ind w:left="-5"/>
        <w:jc w:val="both"/>
      </w:pPr>
      <w:r>
        <w:t xml:space="preserve">Uveden je redoviti sustav opomena/požurnica po osnovi prihoda koje određeni dužnik ima  prema Školi. </w:t>
      </w:r>
    </w:p>
    <w:p w:rsidR="006A3431" w:rsidRDefault="00EE5570" w:rsidP="000A1C0F">
      <w:pPr>
        <w:ind w:left="-5"/>
        <w:jc w:val="both"/>
      </w:pPr>
      <w:r>
        <w:t xml:space="preserve">Tijekom godine (kvartalno) nadzire se naplata prihoda po opomenama, te odvjetničkim  opomenama pred tužbu, a sve radi pravovremenog poduzimanja mjera naplate kako ne bi  došlo do zastare. </w:t>
      </w:r>
    </w:p>
    <w:p w:rsidR="000A1C0F" w:rsidRDefault="00EE5570" w:rsidP="000A1C0F">
      <w:pPr>
        <w:ind w:left="-5"/>
        <w:jc w:val="both"/>
      </w:pPr>
      <w:r>
        <w:t>Tijekom narednih 30 dana računovodstvo nadzire naplatu prihoda po o</w:t>
      </w:r>
      <w:r>
        <w:t xml:space="preserve">pomenama/požurnicama. </w:t>
      </w:r>
    </w:p>
    <w:p w:rsidR="006A3431" w:rsidRDefault="00EE5570">
      <w:pPr>
        <w:spacing w:after="29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margin" w:tblpXSpec="center" w:tblpY="11116"/>
        <w:tblOverlap w:val="never"/>
        <w:tblW w:w="10918" w:type="dxa"/>
        <w:tblInd w:w="0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3896"/>
        <w:gridCol w:w="1709"/>
        <w:gridCol w:w="2485"/>
        <w:gridCol w:w="1976"/>
      </w:tblGrid>
      <w:tr w:rsidR="000A1C0F" w:rsidTr="000A1C0F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2" w:firstLine="0"/>
            </w:pPr>
            <w:r>
              <w:t xml:space="preserve">RED. BR.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0" w:firstLine="0"/>
            </w:pPr>
            <w:r>
              <w:t xml:space="preserve">AKTIVNOST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0" w:firstLine="0"/>
            </w:pPr>
            <w:r>
              <w:t xml:space="preserve">NADLEŽNA SLUŽBA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0" w:firstLine="0"/>
            </w:pPr>
            <w:r>
              <w:t xml:space="preserve">DOKUMENT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2" w:firstLine="0"/>
            </w:pPr>
            <w:r>
              <w:t xml:space="preserve">ROK </w:t>
            </w:r>
          </w:p>
        </w:tc>
      </w:tr>
      <w:tr w:rsidR="000A1C0F" w:rsidTr="000A1C0F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0" w:firstLine="0"/>
            </w:pPr>
            <w:r>
              <w:t xml:space="preserve">Utvrđivanje knjigovodstvenog stanja  dužnika/prikupljanje podataka o poslovnom računu ili imovinskom stanju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0" w:firstLine="0"/>
            </w:pPr>
            <w:r>
              <w:t xml:space="preserve">Knjigovodstvene kartice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F" w:rsidRDefault="000A1C0F" w:rsidP="000A1C0F">
            <w:pPr>
              <w:spacing w:after="0" w:line="259" w:lineRule="auto"/>
              <w:ind w:left="2" w:firstLine="0"/>
            </w:pPr>
            <w:r>
              <w:t xml:space="preserve">Prije zastare potraživanja </w:t>
            </w:r>
          </w:p>
        </w:tc>
      </w:tr>
    </w:tbl>
    <w:p w:rsidR="006A3431" w:rsidRDefault="00EE5570">
      <w:pPr>
        <w:spacing w:after="16" w:line="259" w:lineRule="auto"/>
        <w:ind w:right="1"/>
        <w:jc w:val="center"/>
      </w:pPr>
      <w:r>
        <w:rPr>
          <w:b/>
        </w:rPr>
        <w:t xml:space="preserve">Članak 4. </w:t>
      </w:r>
    </w:p>
    <w:p w:rsidR="000A1C0F" w:rsidRDefault="000A1C0F" w:rsidP="000A1C0F">
      <w:pPr>
        <w:ind w:left="-5"/>
        <w:jc w:val="both"/>
      </w:pPr>
    </w:p>
    <w:p w:rsidR="000A1C0F" w:rsidRDefault="00EE5570" w:rsidP="000A1C0F">
      <w:pPr>
        <w:ind w:left="-5"/>
        <w:jc w:val="both"/>
      </w:pPr>
      <w:r>
        <w:t xml:space="preserve">Nakon što u roku od 30 dana nije naplaćen dug za koji je poslana opomena/požurnica  računovodstvo o tome obavještava ravnateljicu koja može donijeti odluku o prisilnoj naplati  </w:t>
      </w:r>
      <w:r>
        <w:t xml:space="preserve">potraživanja, nakon čega se može pokrenuti izvršni postupak kod javnog bilježnika. </w:t>
      </w:r>
    </w:p>
    <w:p w:rsidR="006A3431" w:rsidRDefault="00EE5570">
      <w:pPr>
        <w:spacing w:after="29" w:line="259" w:lineRule="auto"/>
        <w:ind w:left="0" w:firstLine="0"/>
      </w:pPr>
      <w:r>
        <w:t xml:space="preserve"> </w:t>
      </w:r>
    </w:p>
    <w:p w:rsidR="006A3431" w:rsidRDefault="00EE5570">
      <w:pPr>
        <w:spacing w:after="16" w:line="259" w:lineRule="auto"/>
        <w:ind w:right="1"/>
        <w:jc w:val="center"/>
      </w:pPr>
      <w:r>
        <w:rPr>
          <w:b/>
        </w:rPr>
        <w:t xml:space="preserve">Članak 5. </w:t>
      </w:r>
    </w:p>
    <w:p w:rsidR="006A3431" w:rsidRDefault="00EE5570" w:rsidP="000A1C0F">
      <w:pPr>
        <w:ind w:left="-5"/>
        <w:jc w:val="both"/>
      </w:pPr>
      <w:r>
        <w:t>Na kraju svake nastavne godine analizira se poštivanje odredbi sklopljenih Ugovora učenika  korisnika školske prehrane  i zakupca školskog prostora te učenic</w:t>
      </w:r>
      <w:r>
        <w:t>i  i korisnici koji i dalje žele  koristiti usluge školske prehrane</w:t>
      </w:r>
      <w:r w:rsidR="000A1C0F">
        <w:t xml:space="preserve"> </w:t>
      </w:r>
      <w:r>
        <w:t>i školskog prostora, obavještavaju se da su do početka  sljedeće školske godine obvezni podmiriti sve tekuće financijske obveze prema Školi, u  protivnom više neće moći koristiti usluge Ško</w:t>
      </w:r>
      <w:r>
        <w:t xml:space="preserve">le zbog neplaćanja odnosno neredovitog  podmirivanja mjesečnih troškova što dovodi do raskida potpisanog ugovora. </w:t>
      </w:r>
    </w:p>
    <w:p w:rsidR="006A3431" w:rsidRDefault="00EE5570" w:rsidP="000A1C0F">
      <w:pPr>
        <w:ind w:left="-5"/>
        <w:jc w:val="both"/>
      </w:pPr>
      <w:r>
        <w:t xml:space="preserve">Roditelji učenika završnih razreda dužni su podmiriti svoje financijske obveze prema Školi  zaključno do podjele svjedodžbi. </w:t>
      </w:r>
    </w:p>
    <w:p w:rsidR="006A3431" w:rsidRDefault="00EE5570">
      <w:pPr>
        <w:spacing w:after="3" w:line="259" w:lineRule="auto"/>
        <w:ind w:left="0" w:firstLine="0"/>
      </w:pPr>
      <w:r>
        <w:t xml:space="preserve"> </w:t>
      </w:r>
    </w:p>
    <w:p w:rsidR="006A3431" w:rsidRDefault="00EE5570">
      <w:pPr>
        <w:ind w:left="-5"/>
      </w:pPr>
      <w:r>
        <w:t xml:space="preserve">Procedura iz </w:t>
      </w:r>
      <w:r>
        <w:t xml:space="preserve">stavka 1. izvodi se po sljedećem postupku: </w:t>
      </w:r>
    </w:p>
    <w:p w:rsidR="006A3431" w:rsidRDefault="00EE55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918" w:type="dxa"/>
        <w:tblInd w:w="-82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3896"/>
        <w:gridCol w:w="1709"/>
        <w:gridCol w:w="2485"/>
        <w:gridCol w:w="1976"/>
      </w:tblGrid>
      <w:tr w:rsidR="006A3431">
        <w:trPr>
          <w:trHeight w:val="11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Prikupljanje dokumentacije za ovršni postupak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Računovodstvo Tajništvo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38" w:lineRule="auto"/>
              <w:ind w:left="0" w:firstLine="0"/>
            </w:pPr>
            <w:r>
              <w:t xml:space="preserve">Knjigovodstvena kartica ili računi/ </w:t>
            </w:r>
          </w:p>
          <w:p w:rsidR="006A3431" w:rsidRDefault="00EE5570">
            <w:pPr>
              <w:spacing w:after="0" w:line="259" w:lineRule="auto"/>
              <w:ind w:left="0" w:right="26" w:firstLine="0"/>
            </w:pPr>
            <w:r>
              <w:t xml:space="preserve">opomena s povratnicom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Prije zastare potraživanja </w:t>
            </w:r>
          </w:p>
        </w:tc>
      </w:tr>
      <w:tr w:rsidR="006A3431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Izrada prijedloga za ovrhu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Tajništvo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Nacrt prijedloga za ovrhu Općinskom sudu ili javnom bilježniku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right="47" w:firstLine="0"/>
            </w:pPr>
            <w:r>
              <w:t xml:space="preserve">Najkasnije dva (2) dana od pokretanja postupka </w:t>
            </w:r>
          </w:p>
        </w:tc>
      </w:tr>
      <w:tr w:rsidR="006A3431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Ovjera i potpis prijedloga za ovrhu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20" w:line="259" w:lineRule="auto"/>
              <w:ind w:left="0" w:firstLine="0"/>
            </w:pPr>
            <w:r>
              <w:t xml:space="preserve">Ravnateljica </w:t>
            </w:r>
          </w:p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Tajništvo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Prijedlog za ovrhu </w:t>
            </w:r>
          </w:p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Općinskom sudu ili javnom bilježniku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A3431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right="58" w:firstLine="0"/>
            </w:pPr>
            <w:r>
              <w:t xml:space="preserve">Dostava prijedloga za ovrhu Općinskom sudu ili javnom bilježniku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Tajništvo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Knjiga izlazne pošte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right="47" w:firstLine="0"/>
            </w:pPr>
            <w:r>
              <w:t xml:space="preserve">Najkasnije dva (2) dana od izrade prijedloga  </w:t>
            </w:r>
          </w:p>
        </w:tc>
      </w:tr>
      <w:tr w:rsidR="006A3431">
        <w:trPr>
          <w:trHeight w:val="1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Dostava pravomoćnih rješenja o ovrsi FINI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  <w:jc w:val="both"/>
            </w:pPr>
            <w:r>
              <w:t xml:space="preserve">Računovodstvo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59" w:lineRule="auto"/>
              <w:ind w:left="0" w:firstLine="0"/>
            </w:pPr>
            <w:r>
              <w:t xml:space="preserve">Pravomoćno rješenje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31" w:rsidRDefault="00EE5570">
            <w:pPr>
              <w:spacing w:after="0" w:line="238" w:lineRule="auto"/>
              <w:ind w:left="2" w:right="47" w:firstLine="0"/>
            </w:pPr>
            <w:r>
              <w:t xml:space="preserve">Najkasnije dva (2) dana od primitka </w:t>
            </w:r>
          </w:p>
          <w:p w:rsidR="006A3431" w:rsidRDefault="00EE5570">
            <w:pPr>
              <w:spacing w:after="20" w:line="259" w:lineRule="auto"/>
              <w:ind w:left="2" w:firstLine="0"/>
            </w:pPr>
            <w:r>
              <w:t xml:space="preserve">pravomoćnih </w:t>
            </w:r>
          </w:p>
          <w:p w:rsidR="006A3431" w:rsidRDefault="00EE5570">
            <w:pPr>
              <w:spacing w:after="0" w:line="259" w:lineRule="auto"/>
              <w:ind w:left="2" w:firstLine="0"/>
            </w:pPr>
            <w:r>
              <w:t xml:space="preserve">rješenja </w:t>
            </w:r>
          </w:p>
        </w:tc>
      </w:tr>
    </w:tbl>
    <w:p w:rsidR="006A3431" w:rsidRDefault="00EE5570">
      <w:pPr>
        <w:spacing w:after="0" w:line="259" w:lineRule="auto"/>
        <w:ind w:left="0" w:firstLine="0"/>
      </w:pPr>
      <w:r>
        <w:t xml:space="preserve"> </w:t>
      </w:r>
    </w:p>
    <w:p w:rsidR="006A3431" w:rsidRDefault="00EE5570">
      <w:pPr>
        <w:spacing w:after="0" w:line="259" w:lineRule="auto"/>
        <w:ind w:left="0" w:firstLine="0"/>
      </w:pPr>
      <w:r>
        <w:t xml:space="preserve"> </w:t>
      </w:r>
    </w:p>
    <w:p w:rsidR="006A3431" w:rsidRDefault="00EE5570">
      <w:pPr>
        <w:spacing w:after="20" w:line="259" w:lineRule="auto"/>
        <w:ind w:left="0" w:firstLine="0"/>
      </w:pPr>
      <w:r>
        <w:t xml:space="preserve"> </w:t>
      </w:r>
    </w:p>
    <w:p w:rsidR="006A3431" w:rsidRDefault="00EE5570">
      <w:pPr>
        <w:spacing w:after="16" w:line="259" w:lineRule="auto"/>
        <w:jc w:val="center"/>
      </w:pPr>
      <w:r>
        <w:rPr>
          <w:b/>
        </w:rPr>
        <w:t xml:space="preserve">Članak 6. </w:t>
      </w:r>
    </w:p>
    <w:p w:rsidR="006A3431" w:rsidRDefault="00EE5570">
      <w:pPr>
        <w:ind w:left="-5"/>
      </w:pPr>
      <w:r>
        <w:t xml:space="preserve">Ova Procedura stupa na snagu danom donošenja. </w:t>
      </w:r>
    </w:p>
    <w:p w:rsidR="006A3431" w:rsidRDefault="00EE5570">
      <w:pPr>
        <w:spacing w:after="0" w:line="259" w:lineRule="auto"/>
        <w:ind w:left="0" w:firstLine="0"/>
      </w:pPr>
      <w:r>
        <w:t xml:space="preserve"> </w:t>
      </w:r>
    </w:p>
    <w:p w:rsidR="006A3431" w:rsidRDefault="00EE5570">
      <w:pPr>
        <w:spacing w:after="0" w:line="259" w:lineRule="auto"/>
        <w:ind w:left="0" w:firstLine="0"/>
      </w:pPr>
      <w:r>
        <w:lastRenderedPageBreak/>
        <w:t xml:space="preserve"> </w:t>
      </w:r>
    </w:p>
    <w:p w:rsidR="000A1C0F" w:rsidRDefault="00EE5570" w:rsidP="000A1C0F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7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Ravnatelj</w:t>
      </w:r>
    </w:p>
    <w:p w:rsidR="000A1C0F" w:rsidRDefault="000A1C0F" w:rsidP="000A1C0F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72"/>
        </w:tabs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Barun, prof. povijesti</w:t>
      </w:r>
    </w:p>
    <w:p w:rsidR="006A3431" w:rsidRDefault="00EE5570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15"/>
        </w:tabs>
        <w:ind w:left="-15" w:firstLine="0"/>
      </w:pPr>
      <w:r>
        <w:t xml:space="preserve"> </w:t>
      </w:r>
    </w:p>
    <w:sectPr w:rsidR="006A3431">
      <w:pgSz w:w="11906" w:h="16838"/>
      <w:pgMar w:top="1421" w:right="1416" w:bottom="14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BCA"/>
    <w:multiLevelType w:val="hybridMultilevel"/>
    <w:tmpl w:val="9008F172"/>
    <w:lvl w:ilvl="0" w:tplc="4DDE91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880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25EB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0416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414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0D9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B9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882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15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C67C70"/>
    <w:multiLevelType w:val="hybridMultilevel"/>
    <w:tmpl w:val="72E2CBBE"/>
    <w:lvl w:ilvl="0" w:tplc="E4320AE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6E19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CC14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CD6A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EF53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A9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67C5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6FED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E461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1"/>
    <w:rsid w:val="000A1C0F"/>
    <w:rsid w:val="006A3431"/>
    <w:rsid w:val="00E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9A8FF-0731-44C9-94CF-4A3B41C1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staknuto">
    <w:name w:val="Emphasis"/>
    <w:basedOn w:val="Zadanifontodlomka"/>
    <w:uiPriority w:val="20"/>
    <w:qFormat/>
    <w:rsid w:val="000A1C0F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C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Tajnik</cp:lastModifiedBy>
  <cp:revision>2</cp:revision>
  <cp:lastPrinted>2016-12-15T07:20:00Z</cp:lastPrinted>
  <dcterms:created xsi:type="dcterms:W3CDTF">2016-12-15T08:21:00Z</dcterms:created>
  <dcterms:modified xsi:type="dcterms:W3CDTF">2016-12-15T08:21:00Z</dcterms:modified>
</cp:coreProperties>
</file>